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350" w:rsidRDefault="00881350">
      <w:pPr>
        <w:pStyle w:val="berschrift1"/>
        <w:rPr>
          <w:sz w:val="28"/>
        </w:rPr>
      </w:pPr>
      <w:r>
        <w:rPr>
          <w:sz w:val="28"/>
        </w:rPr>
        <w:t>Word-Übung</w:t>
      </w:r>
      <w:r w:rsidR="00235416">
        <w:rPr>
          <w:sz w:val="28"/>
        </w:rPr>
        <w:t>svorlage</w:t>
      </w:r>
      <w:bookmarkStart w:id="0" w:name="_GoBack"/>
      <w:bookmarkEnd w:id="0"/>
      <w:r>
        <w:rPr>
          <w:sz w:val="28"/>
        </w:rPr>
        <w:t xml:space="preserve"> 3: Aufzählung, Nummerierung und Gliederung</w:t>
      </w:r>
    </w:p>
    <w:p w:rsidR="00CF2E21" w:rsidRDefault="00CF2E21">
      <w:pPr>
        <w:pStyle w:val="berschrift1"/>
        <w:rPr>
          <w:sz w:val="28"/>
        </w:rPr>
      </w:pPr>
      <w:r>
        <w:rPr>
          <w:sz w:val="28"/>
        </w:rPr>
        <w:t>Übung Aufzählung</w:t>
      </w:r>
    </w:p>
    <w:p w:rsidR="00CF2E21" w:rsidRPr="00881350" w:rsidRDefault="00CF2E21" w:rsidP="00CF2E21">
      <w:pPr>
        <w:pStyle w:val="StandardWeb"/>
        <w:shd w:val="clear" w:color="auto" w:fill="FFFFFF"/>
        <w:spacing w:before="0" w:beforeAutospacing="0" w:after="120" w:afterAutospacing="0"/>
        <w:rPr>
          <w:rFonts w:ascii="Georgia" w:hAnsi="Georgia"/>
          <w:color w:val="000000"/>
          <w:sz w:val="22"/>
        </w:rPr>
      </w:pPr>
      <w:r w:rsidRPr="00881350">
        <w:rPr>
          <w:rStyle w:val="Hervorhebung"/>
          <w:rFonts w:ascii="Georgia" w:hAnsi="Georgia"/>
          <w:color w:val="000000"/>
          <w:sz w:val="22"/>
        </w:rPr>
        <w:t>Schreiben Sie die Einleitung so, dass sie den Leser zum Weiterlesen animiert. Dazu können Sie:</w:t>
      </w:r>
    </w:p>
    <w:p w:rsidR="00CF2E21" w:rsidRPr="00881350" w:rsidRDefault="00CF2E21" w:rsidP="00CF2E21">
      <w:pPr>
        <w:shd w:val="clear" w:color="auto" w:fill="FFFFFF"/>
        <w:rPr>
          <w:rFonts w:ascii="Georgia" w:hAnsi="Georgia"/>
          <w:color w:val="000000"/>
          <w:sz w:val="22"/>
        </w:rPr>
      </w:pPr>
      <w:r w:rsidRPr="00881350">
        <w:rPr>
          <w:rStyle w:val="Hervorhebung"/>
          <w:rFonts w:ascii="Georgia" w:hAnsi="Georgia"/>
          <w:color w:val="000000"/>
          <w:sz w:val="22"/>
        </w:rPr>
        <w:t>eine wichtige Erkenntnis nennen, die der Leser aus dem Beitrag ziehen wird</w:t>
      </w:r>
    </w:p>
    <w:p w:rsidR="00CF2E21" w:rsidRPr="00881350" w:rsidRDefault="00CF2E21" w:rsidP="00CF2E21">
      <w:pPr>
        <w:shd w:val="clear" w:color="auto" w:fill="FFFFFF"/>
        <w:rPr>
          <w:rFonts w:ascii="Georgia" w:hAnsi="Georgia"/>
          <w:color w:val="000000"/>
          <w:sz w:val="22"/>
        </w:rPr>
      </w:pPr>
      <w:r w:rsidRPr="00881350">
        <w:rPr>
          <w:rStyle w:val="Hervorhebung"/>
          <w:rFonts w:ascii="Georgia" w:hAnsi="Georgia"/>
          <w:color w:val="000000"/>
          <w:sz w:val="22"/>
        </w:rPr>
        <w:t>die Lösung für ein Problem anbieten</w:t>
      </w:r>
    </w:p>
    <w:p w:rsidR="00CF2E21" w:rsidRPr="00881350" w:rsidRDefault="00CF2E21" w:rsidP="00CF2E21">
      <w:pPr>
        <w:shd w:val="clear" w:color="auto" w:fill="FFFFFF"/>
        <w:rPr>
          <w:rFonts w:ascii="Georgia" w:hAnsi="Georgia"/>
          <w:color w:val="000000"/>
          <w:sz w:val="22"/>
        </w:rPr>
      </w:pPr>
      <w:r w:rsidRPr="00881350">
        <w:rPr>
          <w:rStyle w:val="Hervorhebung"/>
          <w:rFonts w:ascii="Georgia" w:hAnsi="Georgia"/>
          <w:color w:val="000000"/>
          <w:sz w:val="22"/>
        </w:rPr>
        <w:t>einen Schmerz ansprechen</w:t>
      </w:r>
    </w:p>
    <w:p w:rsidR="00CF2E21" w:rsidRPr="00881350" w:rsidRDefault="00CF2E21" w:rsidP="00CF2E21">
      <w:pPr>
        <w:shd w:val="clear" w:color="auto" w:fill="FFFFFF"/>
        <w:rPr>
          <w:rFonts w:ascii="Georgia" w:hAnsi="Georgia"/>
          <w:color w:val="000000"/>
          <w:sz w:val="22"/>
        </w:rPr>
      </w:pPr>
      <w:r w:rsidRPr="00881350">
        <w:rPr>
          <w:rStyle w:val="Hervorhebung"/>
          <w:rFonts w:ascii="Georgia" w:hAnsi="Georgia"/>
          <w:color w:val="000000"/>
          <w:sz w:val="22"/>
        </w:rPr>
        <w:t>eine provokante Aussage treffen</w:t>
      </w:r>
    </w:p>
    <w:p w:rsidR="00CF2E21" w:rsidRPr="00881350" w:rsidRDefault="00CF2E21" w:rsidP="00CF2E21">
      <w:pPr>
        <w:shd w:val="clear" w:color="auto" w:fill="FFFFFF"/>
        <w:rPr>
          <w:rFonts w:ascii="Georgia" w:hAnsi="Georgia"/>
          <w:color w:val="000000"/>
          <w:sz w:val="22"/>
        </w:rPr>
      </w:pPr>
      <w:r w:rsidRPr="00881350">
        <w:rPr>
          <w:rStyle w:val="Hervorhebung"/>
          <w:rFonts w:ascii="Georgia" w:hAnsi="Georgia"/>
          <w:color w:val="000000"/>
          <w:sz w:val="22"/>
        </w:rPr>
        <w:t>Spannung aufbauen, indem Sie nicht alles verraten</w:t>
      </w:r>
    </w:p>
    <w:p w:rsidR="00CF2E21" w:rsidRPr="00881350" w:rsidRDefault="00CF2E21" w:rsidP="00CF2E21">
      <w:pPr>
        <w:shd w:val="clear" w:color="auto" w:fill="FFFFFF"/>
        <w:rPr>
          <w:rFonts w:ascii="Georgia" w:hAnsi="Georgia"/>
          <w:color w:val="000000"/>
          <w:sz w:val="22"/>
        </w:rPr>
      </w:pPr>
      <w:r w:rsidRPr="00881350">
        <w:rPr>
          <w:rStyle w:val="Hervorhebung"/>
          <w:rFonts w:ascii="Georgia" w:hAnsi="Georgia"/>
          <w:color w:val="000000"/>
          <w:sz w:val="22"/>
        </w:rPr>
        <w:t>eine Frage aufwerfen</w:t>
      </w:r>
    </w:p>
    <w:p w:rsidR="00CF2E21" w:rsidRDefault="00CF2E21" w:rsidP="00CF2E21"/>
    <w:p w:rsidR="00CF2E21" w:rsidRDefault="00CF2E21">
      <w:pPr>
        <w:pStyle w:val="berschrift1"/>
        <w:rPr>
          <w:sz w:val="28"/>
        </w:rPr>
      </w:pPr>
      <w:r>
        <w:rPr>
          <w:sz w:val="28"/>
        </w:rPr>
        <w:t>Übung Nummerierung</w:t>
      </w:r>
    </w:p>
    <w:p w:rsidR="00CF2E21" w:rsidRPr="00881350" w:rsidRDefault="00881350" w:rsidP="00CF2E21">
      <w:pPr>
        <w:rPr>
          <w:sz w:val="22"/>
        </w:rPr>
      </w:pPr>
      <w:r w:rsidRPr="00881350">
        <w:rPr>
          <w:sz w:val="22"/>
        </w:rPr>
        <w:t xml:space="preserve">Folgende </w:t>
      </w:r>
      <w:r w:rsidR="00CF2E21" w:rsidRPr="00881350">
        <w:rPr>
          <w:sz w:val="22"/>
        </w:rPr>
        <w:t>Fächer werden im ersten Semester unterrichtet</w:t>
      </w:r>
    </w:p>
    <w:p w:rsidR="00CF2E21" w:rsidRPr="00881350" w:rsidRDefault="00CF2E21" w:rsidP="00CF2E21">
      <w:pPr>
        <w:rPr>
          <w:sz w:val="22"/>
        </w:rPr>
      </w:pPr>
      <w:r w:rsidRPr="00881350">
        <w:rPr>
          <w:sz w:val="22"/>
        </w:rPr>
        <w:t>Deutsch</w:t>
      </w:r>
    </w:p>
    <w:p w:rsidR="00CF2E21" w:rsidRPr="00881350" w:rsidRDefault="00CF2E21" w:rsidP="00CF2E21">
      <w:pPr>
        <w:rPr>
          <w:sz w:val="22"/>
        </w:rPr>
      </w:pPr>
      <w:r w:rsidRPr="00881350">
        <w:rPr>
          <w:sz w:val="22"/>
        </w:rPr>
        <w:t>Englisch</w:t>
      </w:r>
    </w:p>
    <w:p w:rsidR="00CF2E21" w:rsidRPr="00881350" w:rsidRDefault="00CF2E21" w:rsidP="00CF2E21">
      <w:pPr>
        <w:rPr>
          <w:sz w:val="22"/>
        </w:rPr>
      </w:pPr>
      <w:r w:rsidRPr="00881350">
        <w:rPr>
          <w:sz w:val="22"/>
        </w:rPr>
        <w:t>Mathematik</w:t>
      </w:r>
    </w:p>
    <w:p w:rsidR="00CF2E21" w:rsidRPr="00881350" w:rsidRDefault="00CF2E21" w:rsidP="00CF2E21">
      <w:pPr>
        <w:rPr>
          <w:sz w:val="22"/>
        </w:rPr>
      </w:pPr>
      <w:proofErr w:type="spellStart"/>
      <w:r w:rsidRPr="00881350">
        <w:rPr>
          <w:sz w:val="22"/>
        </w:rPr>
        <w:t>Powi</w:t>
      </w:r>
      <w:proofErr w:type="spellEnd"/>
    </w:p>
    <w:p w:rsidR="00881350" w:rsidRPr="00CF2E21" w:rsidRDefault="00881350" w:rsidP="00CF2E21"/>
    <w:p w:rsidR="00A0370E" w:rsidRDefault="00C34813">
      <w:pPr>
        <w:pStyle w:val="berschrift1"/>
        <w:rPr>
          <w:sz w:val="28"/>
        </w:rPr>
      </w:pPr>
      <w:r>
        <w:rPr>
          <w:sz w:val="28"/>
        </w:rPr>
        <w:t>Übung Gliederung</w:t>
      </w:r>
    </w:p>
    <w:p w:rsidR="00A0370E" w:rsidRDefault="00A0370E">
      <w:pPr>
        <w:rPr>
          <w:b/>
          <w:sz w:val="28"/>
          <w:u w:val="single"/>
        </w:rPr>
      </w:pPr>
    </w:p>
    <w:p w:rsidR="00A0370E" w:rsidRDefault="00C34813">
      <w:pPr>
        <w:rPr>
          <w:b/>
          <w:sz w:val="28"/>
          <w:u w:val="single"/>
        </w:rPr>
      </w:pPr>
      <w:r>
        <w:rPr>
          <w:b/>
          <w:sz w:val="28"/>
          <w:u w:val="single"/>
        </w:rPr>
        <w:t>Inhalt:</w:t>
      </w:r>
    </w:p>
    <w:p w:rsidR="00A0370E" w:rsidRDefault="00A0370E"/>
    <w:p w:rsidR="00A0370E" w:rsidRPr="00881350" w:rsidRDefault="00C34813">
      <w:pPr>
        <w:pStyle w:val="berschriftAbsatz"/>
        <w:numPr>
          <w:ilvl w:val="0"/>
          <w:numId w:val="0"/>
        </w:numPr>
        <w:spacing w:before="120"/>
        <w:rPr>
          <w:b/>
          <w:sz w:val="22"/>
        </w:rPr>
      </w:pPr>
      <w:r w:rsidRPr="00881350">
        <w:rPr>
          <w:b/>
          <w:sz w:val="22"/>
        </w:rPr>
        <w:t>EG-Maschinen-Richtlinie</w:t>
      </w:r>
    </w:p>
    <w:p w:rsidR="00A0370E" w:rsidRPr="00881350" w:rsidRDefault="00C34813">
      <w:pPr>
        <w:tabs>
          <w:tab w:val="left" w:pos="1644"/>
        </w:tabs>
        <w:spacing w:before="120"/>
        <w:rPr>
          <w:sz w:val="22"/>
        </w:rPr>
      </w:pPr>
      <w:r w:rsidRPr="00881350">
        <w:rPr>
          <w:sz w:val="22"/>
        </w:rPr>
        <w:t>Einleitung</w:t>
      </w:r>
    </w:p>
    <w:p w:rsidR="00A0370E" w:rsidRPr="00881350" w:rsidRDefault="00C34813">
      <w:pPr>
        <w:tabs>
          <w:tab w:val="left" w:pos="1644"/>
        </w:tabs>
        <w:spacing w:before="120"/>
        <w:rPr>
          <w:sz w:val="22"/>
        </w:rPr>
      </w:pPr>
      <w:r w:rsidRPr="00881350">
        <w:rPr>
          <w:sz w:val="22"/>
        </w:rPr>
        <w:t>Gerätesicherheitsgesetz</w:t>
      </w:r>
    </w:p>
    <w:p w:rsidR="00A0370E" w:rsidRPr="00881350" w:rsidRDefault="00C34813">
      <w:pPr>
        <w:tabs>
          <w:tab w:val="left" w:pos="1644"/>
        </w:tabs>
        <w:spacing w:before="120"/>
        <w:rPr>
          <w:i/>
          <w:sz w:val="22"/>
        </w:rPr>
      </w:pPr>
      <w:r w:rsidRPr="00881350">
        <w:rPr>
          <w:i/>
          <w:sz w:val="22"/>
        </w:rPr>
        <w:t>Allgemeines</w:t>
      </w:r>
    </w:p>
    <w:p w:rsidR="00A0370E" w:rsidRPr="00881350" w:rsidRDefault="00C34813">
      <w:pPr>
        <w:tabs>
          <w:tab w:val="left" w:pos="1644"/>
        </w:tabs>
        <w:spacing w:before="120"/>
        <w:rPr>
          <w:i/>
          <w:sz w:val="22"/>
        </w:rPr>
      </w:pPr>
      <w:r w:rsidRPr="00881350">
        <w:rPr>
          <w:i/>
          <w:sz w:val="22"/>
        </w:rPr>
        <w:t>Anwendung für die Kältetechnik</w:t>
      </w:r>
    </w:p>
    <w:p w:rsidR="00A0370E" w:rsidRPr="00881350" w:rsidRDefault="00C34813">
      <w:pPr>
        <w:tabs>
          <w:tab w:val="left" w:pos="1644"/>
        </w:tabs>
        <w:spacing w:before="120"/>
        <w:rPr>
          <w:sz w:val="22"/>
        </w:rPr>
      </w:pPr>
      <w:r w:rsidRPr="00881350">
        <w:rPr>
          <w:sz w:val="22"/>
        </w:rPr>
        <w:t xml:space="preserve">Richtlinie für Kälteanlagen </w:t>
      </w:r>
    </w:p>
    <w:p w:rsidR="00A0370E" w:rsidRPr="00881350" w:rsidRDefault="00C34813">
      <w:pPr>
        <w:spacing w:before="120"/>
        <w:rPr>
          <w:i/>
          <w:sz w:val="22"/>
        </w:rPr>
      </w:pPr>
      <w:r w:rsidRPr="00881350">
        <w:rPr>
          <w:i/>
          <w:sz w:val="22"/>
        </w:rPr>
        <w:t>Kälteanlagen</w:t>
      </w:r>
    </w:p>
    <w:p w:rsidR="00A0370E" w:rsidRPr="00881350" w:rsidRDefault="00C34813">
      <w:pPr>
        <w:spacing w:before="120"/>
        <w:rPr>
          <w:i/>
          <w:sz w:val="22"/>
        </w:rPr>
      </w:pPr>
      <w:r w:rsidRPr="00881350">
        <w:rPr>
          <w:i/>
          <w:sz w:val="22"/>
        </w:rPr>
        <w:t>Wärmepumpen</w:t>
      </w:r>
    </w:p>
    <w:p w:rsidR="00A0370E" w:rsidRPr="00881350" w:rsidRDefault="00C34813">
      <w:pPr>
        <w:pStyle w:val="berschriftAbsatz"/>
        <w:numPr>
          <w:ilvl w:val="0"/>
          <w:numId w:val="0"/>
        </w:numPr>
        <w:spacing w:before="120"/>
        <w:rPr>
          <w:b/>
          <w:sz w:val="22"/>
        </w:rPr>
      </w:pPr>
      <w:r w:rsidRPr="00881350">
        <w:rPr>
          <w:b/>
          <w:sz w:val="22"/>
        </w:rPr>
        <w:t>Die Berufsgenossenschaftlichen Regeln BGR 500</w:t>
      </w:r>
    </w:p>
    <w:p w:rsidR="00A0370E" w:rsidRPr="00881350" w:rsidRDefault="00881350">
      <w:pPr>
        <w:pStyle w:val="berschriftAbsatz"/>
        <w:numPr>
          <w:ilvl w:val="0"/>
          <w:numId w:val="0"/>
        </w:numPr>
        <w:spacing w:before="120"/>
        <w:rPr>
          <w:sz w:val="22"/>
        </w:rPr>
      </w:pPr>
      <w:r>
        <w:rPr>
          <w:noProof/>
          <w:sz w:val="22"/>
        </w:rPr>
        <mc:AlternateContent>
          <mc:Choice Requires="wps">
            <w:drawing>
              <wp:anchor distT="0" distB="0" distL="114300" distR="114300" simplePos="0" relativeHeight="251658240" behindDoc="0" locked="0" layoutInCell="1" allowOverlap="1">
                <wp:simplePos x="0" y="0"/>
                <wp:positionH relativeFrom="column">
                  <wp:posOffset>4204970</wp:posOffset>
                </wp:positionH>
                <wp:positionV relativeFrom="paragraph">
                  <wp:posOffset>95250</wp:posOffset>
                </wp:positionV>
                <wp:extent cx="1494790" cy="1153160"/>
                <wp:effectExtent l="8890" t="12065" r="10795"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1153160"/>
                        </a:xfrm>
                        <a:prstGeom prst="rect">
                          <a:avLst/>
                        </a:prstGeom>
                        <a:solidFill>
                          <a:srgbClr val="FFFFFF"/>
                        </a:solidFill>
                        <a:ln w="9525">
                          <a:solidFill>
                            <a:srgbClr val="000000"/>
                          </a:solidFill>
                          <a:miter lim="800000"/>
                          <a:headEnd/>
                          <a:tailEnd/>
                        </a:ln>
                      </wps:spPr>
                      <wps:txbx>
                        <w:txbxContent>
                          <w:p w:rsidR="00881350" w:rsidRDefault="00881350" w:rsidP="00881350">
                            <w:pPr>
                              <w:rPr>
                                <w:b/>
                              </w:rPr>
                            </w:pPr>
                            <w:r>
                              <w:rPr>
                                <w:b/>
                              </w:rPr>
                              <w:t xml:space="preserve">Erläuterung: </w:t>
                            </w:r>
                          </w:p>
                          <w:p w:rsidR="00881350" w:rsidRDefault="00881350" w:rsidP="00881350">
                            <w:pPr>
                              <w:rPr>
                                <w:b/>
                              </w:rPr>
                            </w:pPr>
                            <w:r>
                              <w:rPr>
                                <w:b/>
                              </w:rPr>
                              <w:t>1. Ebene</w:t>
                            </w:r>
                          </w:p>
                          <w:p w:rsidR="00881350" w:rsidRDefault="00881350" w:rsidP="00881350">
                            <w:r>
                              <w:t>2. Ebene</w:t>
                            </w:r>
                          </w:p>
                          <w:p w:rsidR="00881350" w:rsidRDefault="00881350" w:rsidP="00881350">
                            <w:pPr>
                              <w:rPr>
                                <w:i/>
                              </w:rPr>
                            </w:pPr>
                            <w:r>
                              <w:rPr>
                                <w:i/>
                              </w:rPr>
                              <w:t>3. Ebene</w:t>
                            </w:r>
                          </w:p>
                          <w:p w:rsidR="00881350" w:rsidRDefault="008813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31.1pt;margin-top:7.5pt;width:117.7pt;height:9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">
                <v:textbox>
                  <w:txbxContent>
                    <w:p w:rsidR="00881350" w:rsidRDefault="00881350" w:rsidP="00881350">
                      <w:pPr>
                        <w:rPr>
                          <w:b/>
                        </w:rPr>
                      </w:pPr>
                      <w:r>
                        <w:rPr>
                          <w:b/>
                        </w:rPr>
                        <w:t xml:space="preserve">Erläuterung: </w:t>
                      </w:r>
                    </w:p>
                    <w:p w:rsidR="00881350" w:rsidRDefault="00881350" w:rsidP="00881350">
                      <w:pPr>
                        <w:rPr>
                          <w:b/>
                        </w:rPr>
                      </w:pPr>
                      <w:r>
                        <w:rPr>
                          <w:b/>
                        </w:rPr>
                        <w:t>1. Ebene</w:t>
                      </w:r>
                    </w:p>
                    <w:p w:rsidR="00881350" w:rsidRDefault="00881350" w:rsidP="00881350">
                      <w:r>
                        <w:t>2. Ebene</w:t>
                      </w:r>
                    </w:p>
                    <w:p w:rsidR="00881350" w:rsidRDefault="00881350" w:rsidP="00881350">
                      <w:pPr>
                        <w:rPr>
                          <w:i/>
                        </w:rPr>
                      </w:pPr>
                      <w:r>
                        <w:rPr>
                          <w:i/>
                        </w:rPr>
                        <w:t>3. Ebene</w:t>
                      </w:r>
                    </w:p>
                    <w:p w:rsidR="00881350" w:rsidRDefault="00881350"/>
                  </w:txbxContent>
                </v:textbox>
              </v:shape>
            </w:pict>
          </mc:Fallback>
        </mc:AlternateContent>
      </w:r>
      <w:r w:rsidR="00C34813" w:rsidRPr="00881350">
        <w:rPr>
          <w:sz w:val="22"/>
        </w:rPr>
        <w:t xml:space="preserve">Kapitel 2.35 </w:t>
      </w:r>
    </w:p>
    <w:p w:rsidR="00A0370E" w:rsidRPr="00881350" w:rsidRDefault="00C34813">
      <w:pPr>
        <w:tabs>
          <w:tab w:val="left" w:pos="1644"/>
        </w:tabs>
        <w:spacing w:before="120"/>
        <w:rPr>
          <w:i/>
          <w:sz w:val="22"/>
        </w:rPr>
      </w:pPr>
      <w:r w:rsidRPr="00881350">
        <w:rPr>
          <w:i/>
          <w:sz w:val="22"/>
        </w:rPr>
        <w:t>Alte Regelung</w:t>
      </w:r>
    </w:p>
    <w:p w:rsidR="00A0370E" w:rsidRPr="00881350" w:rsidRDefault="00C34813">
      <w:pPr>
        <w:tabs>
          <w:tab w:val="left" w:pos="1644"/>
        </w:tabs>
        <w:spacing w:before="120"/>
        <w:rPr>
          <w:i/>
          <w:sz w:val="22"/>
        </w:rPr>
      </w:pPr>
      <w:r w:rsidRPr="00881350">
        <w:rPr>
          <w:i/>
          <w:sz w:val="22"/>
        </w:rPr>
        <w:t>Neuregelungen</w:t>
      </w:r>
    </w:p>
    <w:p w:rsidR="00A0370E" w:rsidRPr="00881350" w:rsidRDefault="00C34813">
      <w:pPr>
        <w:tabs>
          <w:tab w:val="left" w:pos="1644"/>
        </w:tabs>
        <w:spacing w:before="120"/>
        <w:rPr>
          <w:sz w:val="22"/>
        </w:rPr>
      </w:pPr>
      <w:r w:rsidRPr="00881350">
        <w:rPr>
          <w:sz w:val="22"/>
        </w:rPr>
        <w:t>Instandhaltungsarbeiten (VBG 15)</w:t>
      </w:r>
    </w:p>
    <w:p w:rsidR="00A0370E" w:rsidRPr="00881350" w:rsidRDefault="00C34813">
      <w:pPr>
        <w:tabs>
          <w:tab w:val="left" w:pos="1644"/>
        </w:tabs>
        <w:spacing w:before="120"/>
        <w:rPr>
          <w:i/>
          <w:sz w:val="22"/>
        </w:rPr>
      </w:pPr>
      <w:r w:rsidRPr="00881350">
        <w:rPr>
          <w:i/>
          <w:sz w:val="22"/>
        </w:rPr>
        <w:t>Schweißen</w:t>
      </w:r>
    </w:p>
    <w:p w:rsidR="00A0370E" w:rsidRPr="00881350" w:rsidRDefault="00C34813">
      <w:pPr>
        <w:tabs>
          <w:tab w:val="left" w:pos="1644"/>
        </w:tabs>
        <w:spacing w:before="120"/>
        <w:rPr>
          <w:i/>
          <w:sz w:val="22"/>
        </w:rPr>
      </w:pPr>
      <w:r w:rsidRPr="00881350">
        <w:rPr>
          <w:i/>
          <w:sz w:val="22"/>
        </w:rPr>
        <w:t xml:space="preserve">Löten </w:t>
      </w:r>
    </w:p>
    <w:p w:rsidR="00A0370E" w:rsidRPr="00881350" w:rsidRDefault="00C34813">
      <w:pPr>
        <w:tabs>
          <w:tab w:val="left" w:pos="1644"/>
        </w:tabs>
        <w:spacing w:before="120"/>
        <w:rPr>
          <w:sz w:val="22"/>
        </w:rPr>
      </w:pPr>
      <w:r w:rsidRPr="00881350">
        <w:rPr>
          <w:sz w:val="22"/>
        </w:rPr>
        <w:t xml:space="preserve">Prüfungen </w:t>
      </w:r>
    </w:p>
    <w:p w:rsidR="00A0370E" w:rsidRPr="00881350" w:rsidRDefault="00C34813">
      <w:pPr>
        <w:tabs>
          <w:tab w:val="left" w:pos="1644"/>
        </w:tabs>
        <w:spacing w:before="120"/>
        <w:rPr>
          <w:i/>
          <w:sz w:val="22"/>
        </w:rPr>
      </w:pPr>
      <w:r w:rsidRPr="00881350">
        <w:rPr>
          <w:i/>
          <w:sz w:val="22"/>
        </w:rPr>
        <w:t>Prüfprotokoll</w:t>
      </w:r>
    </w:p>
    <w:p w:rsidR="00F02641" w:rsidRDefault="00C34813" w:rsidP="00881350">
      <w:pPr>
        <w:tabs>
          <w:tab w:val="left" w:pos="1644"/>
        </w:tabs>
        <w:spacing w:before="120"/>
        <w:rPr>
          <w:i/>
          <w:sz w:val="22"/>
        </w:rPr>
      </w:pPr>
      <w:r w:rsidRPr="00881350">
        <w:rPr>
          <w:i/>
          <w:sz w:val="22"/>
        </w:rPr>
        <w:t>Unterschrift</w:t>
      </w:r>
    </w:p>
    <w:p w:rsidR="00F02641" w:rsidRDefault="00F02641" w:rsidP="00F02641">
      <w:r>
        <w:br w:type="page"/>
      </w:r>
    </w:p>
    <w:p w:rsidR="00A0370E" w:rsidRPr="00F02641" w:rsidRDefault="00F02641" w:rsidP="00F02641">
      <w:pPr>
        <w:pStyle w:val="berschrift1"/>
        <w:rPr>
          <w:sz w:val="28"/>
        </w:rPr>
      </w:pPr>
      <w:r w:rsidRPr="00F02641">
        <w:rPr>
          <w:sz w:val="28"/>
        </w:rPr>
        <w:lastRenderedPageBreak/>
        <w:t>Formatieren Sie nach folgendem Vorbild:</w:t>
      </w:r>
    </w:p>
    <w:p w:rsidR="00F02641" w:rsidRDefault="00F02641" w:rsidP="00881350">
      <w:pPr>
        <w:tabs>
          <w:tab w:val="left" w:pos="1644"/>
        </w:tabs>
        <w:spacing w:before="120"/>
        <w:rPr>
          <w:i/>
          <w:sz w:val="22"/>
        </w:rPr>
      </w:pPr>
      <w:r w:rsidRPr="00F02641">
        <w:rPr>
          <w:i/>
          <w:noProof/>
          <w:sz w:val="22"/>
        </w:rPr>
        <w:drawing>
          <wp:inline distT="0" distB="0" distL="0" distR="0">
            <wp:extent cx="5192202" cy="3012901"/>
            <wp:effectExtent l="19050" t="19050" r="27940" b="165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98309" cy="3016445"/>
                    </a:xfrm>
                    <a:prstGeom prst="rect">
                      <a:avLst/>
                    </a:prstGeom>
                    <a:noFill/>
                    <a:ln>
                      <a:solidFill>
                        <a:schemeClr val="accent1"/>
                      </a:solidFill>
                    </a:ln>
                  </pic:spPr>
                </pic:pic>
              </a:graphicData>
            </a:graphic>
          </wp:inline>
        </w:drawing>
      </w:r>
    </w:p>
    <w:p w:rsidR="00F02641" w:rsidRDefault="00F02641" w:rsidP="00881350">
      <w:pPr>
        <w:tabs>
          <w:tab w:val="left" w:pos="1644"/>
        </w:tabs>
        <w:spacing w:before="120"/>
        <w:rPr>
          <w:i/>
          <w:sz w:val="22"/>
        </w:rPr>
      </w:pPr>
    </w:p>
    <w:p w:rsidR="00F02641" w:rsidRDefault="00F02641" w:rsidP="00F02641">
      <w:pPr>
        <w:pStyle w:val="Default"/>
        <w:rPr>
          <w:sz w:val="22"/>
          <w:szCs w:val="22"/>
        </w:rPr>
      </w:pPr>
      <w:r>
        <w:rPr>
          <w:sz w:val="22"/>
          <w:szCs w:val="22"/>
        </w:rPr>
        <w:t xml:space="preserve">Zusammenkünfte, ausgenommen solche nach den Abs. 2 und 2a, und Veranstaltungen sind nur bei besonderem öffentlichen Interesse und mit Genehmigung der zuständigen Behörde zulässig, und wenn </w:t>
      </w:r>
    </w:p>
    <w:p w:rsidR="00F02641" w:rsidRDefault="00F02641" w:rsidP="00F02641">
      <w:pPr>
        <w:pStyle w:val="Default"/>
        <w:rPr>
          <w:sz w:val="22"/>
          <w:szCs w:val="22"/>
        </w:rPr>
      </w:pPr>
      <w:r>
        <w:rPr>
          <w:sz w:val="22"/>
          <w:szCs w:val="22"/>
        </w:rPr>
        <w:t xml:space="preserve">durch geeignete Maßnahmen, insbesondere durch Steuerung der Besucherzahlen, sichergestellt wird, dass der nach Abs. 1 Satz 2 gebotene Mindestabstand von 1,5 Metern eingehalten werden kann, sofern keine geeigneten Trennvorrichtungen vorhanden sind, </w:t>
      </w:r>
    </w:p>
    <w:p w:rsidR="00F02641" w:rsidRDefault="00F02641" w:rsidP="00F02641">
      <w:pPr>
        <w:pStyle w:val="Default"/>
        <w:rPr>
          <w:sz w:val="22"/>
          <w:szCs w:val="22"/>
        </w:rPr>
      </w:pPr>
      <w:r>
        <w:rPr>
          <w:sz w:val="22"/>
          <w:szCs w:val="22"/>
        </w:rPr>
        <w:t xml:space="preserve">Name, Anschrift und Telefonnummer der Teilnehmerinnen und Teilnehmer ausschließlich zur Ermöglichung der Nachverfolgung von Infektionen von der Veranstalterin oder dem Veranstalter erfasst werden; diese haben die Daten für die Dauer eines Monats ab Beginn der Veranstaltung geschützt vor Einsichtnahme durch Dritte für die zuständigen Behörden vorzuhalten und auf Anforderung an diese zu übermitteln sowie unverzüglich nach Ablauf der Frist sicher und datenschutzkonform zu löschen oder zu vernichten; die Bestimmungen der Art. 13, 15, 18 und 20 der Datenschutz-Grundverordnung zur Informationspflicht und zum Recht auf Auskunft zu personenbezogenen Daten finden keine Anwendung; die Teilnehmerinnen und Teilnehmer sind über diese Beschränkungen zu informieren, </w:t>
      </w:r>
    </w:p>
    <w:p w:rsidR="00F02641" w:rsidRDefault="00F02641" w:rsidP="00F02641">
      <w:pPr>
        <w:pStyle w:val="Default"/>
        <w:rPr>
          <w:sz w:val="22"/>
          <w:szCs w:val="22"/>
        </w:rPr>
      </w:pPr>
      <w:r>
        <w:rPr>
          <w:sz w:val="22"/>
          <w:szCs w:val="22"/>
        </w:rPr>
        <w:t xml:space="preserve">geeignete Hygienekonzepte entsprechend den Empfehlungen des Robert Koch-Instituts zur Hygiene, Steuerung des Zutritts und der Vermeidung von Warteschlangen getroffen und um-gesetzt werden und </w:t>
      </w:r>
    </w:p>
    <w:p w:rsidR="00F02641" w:rsidRPr="00F02641" w:rsidRDefault="00F02641" w:rsidP="00F02641">
      <w:pPr>
        <w:pStyle w:val="Default"/>
        <w:rPr>
          <w:sz w:val="22"/>
          <w:szCs w:val="22"/>
        </w:rPr>
      </w:pPr>
      <w:r>
        <w:rPr>
          <w:sz w:val="22"/>
          <w:szCs w:val="22"/>
        </w:rPr>
        <w:t>Aushänge zu den erforderlichen Abstands- und Hygienemaßnahmen gut sichtbar angebracht sind.</w:t>
      </w:r>
    </w:p>
    <w:sectPr w:rsidR="00F02641" w:rsidRPr="00F02641" w:rsidSect="0088135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14C6A"/>
    <w:multiLevelType w:val="hybridMultilevel"/>
    <w:tmpl w:val="6EB8ED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35320D4"/>
    <w:multiLevelType w:val="multilevel"/>
    <w:tmpl w:val="EEDC164C"/>
    <w:lvl w:ilvl="0">
      <w:start w:val="1"/>
      <w:numFmt w:val="decimal"/>
      <w:pStyle w:val="berschriftAbsatz"/>
      <w:lvlText w:val="%1."/>
      <w:lvlJc w:val="left"/>
      <w:pPr>
        <w:tabs>
          <w:tab w:val="num" w:pos="360"/>
        </w:tabs>
        <w:ind w:left="360" w:hanging="360"/>
      </w:pPr>
      <w:rPr>
        <w:rFonts w:hint="default"/>
      </w:rPr>
    </w:lvl>
    <w:lvl w:ilvl="1">
      <w:start w:val="1"/>
      <w:numFmt w:val="decimal"/>
      <w:lvlText w:val="%1.%2."/>
      <w:lvlJc w:val="left"/>
      <w:pPr>
        <w:tabs>
          <w:tab w:val="num" w:pos="1854"/>
        </w:tabs>
        <w:ind w:left="1854" w:hanging="1134"/>
      </w:pPr>
      <w:rPr>
        <w:rFonts w:hint="default"/>
      </w:rPr>
    </w:lvl>
    <w:lvl w:ilvl="2">
      <w:start w:val="1"/>
      <w:numFmt w:val="decimal"/>
      <w:lvlText w:val="%1.%2.%3."/>
      <w:lvlJc w:val="left"/>
      <w:pPr>
        <w:tabs>
          <w:tab w:val="num" w:pos="3119"/>
        </w:tabs>
        <w:ind w:left="3119" w:hanging="158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6CD32033"/>
    <w:multiLevelType w:val="multilevel"/>
    <w:tmpl w:val="DE5AA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2"/>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E21"/>
    <w:rsid w:val="00235416"/>
    <w:rsid w:val="00881350"/>
    <w:rsid w:val="00A0370E"/>
    <w:rsid w:val="00C34813"/>
    <w:rsid w:val="00CF2E21"/>
    <w:rsid w:val="00F026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11A1B9-2DE9-44B5-8F3E-7872A1B4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Zitat1">
    <w:name w:val="Zitat1"/>
    <w:basedOn w:val="Absatz-Standardschriftart"/>
    <w:rPr>
      <w:rFonts w:ascii="Arial" w:hAnsi="Arial"/>
      <w:i/>
      <w:sz w:val="24"/>
    </w:rPr>
  </w:style>
  <w:style w:type="paragraph" w:customStyle="1" w:styleId="berschriftAbsatz">
    <w:name w:val="Überschrift Absatz"/>
    <w:basedOn w:val="Standard"/>
    <w:pPr>
      <w:numPr>
        <w:numId w:val="1"/>
      </w:numPr>
    </w:pPr>
  </w:style>
  <w:style w:type="paragraph" w:styleId="StandardWeb">
    <w:name w:val="Normal (Web)"/>
    <w:basedOn w:val="Standard"/>
    <w:uiPriority w:val="99"/>
    <w:unhideWhenUsed/>
    <w:rsid w:val="00CF2E21"/>
    <w:pPr>
      <w:spacing w:before="100" w:beforeAutospacing="1" w:after="100" w:afterAutospacing="1"/>
    </w:pPr>
  </w:style>
  <w:style w:type="character" w:styleId="Hervorhebung">
    <w:name w:val="Emphasis"/>
    <w:uiPriority w:val="20"/>
    <w:qFormat/>
    <w:rsid w:val="00CF2E21"/>
    <w:rPr>
      <w:i/>
      <w:iCs/>
    </w:rPr>
  </w:style>
  <w:style w:type="paragraph" w:customStyle="1" w:styleId="Default">
    <w:name w:val="Default"/>
    <w:rsid w:val="00F0264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98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Übung Gliederung (28</vt:lpstr>
    </vt:vector>
  </TitlesOfParts>
  <Company>BFS</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Gliederung (28</dc:title>
  <dc:subject/>
  <dc:creator>Bundesfachschule Kälte-Klima-Technik</dc:creator>
  <cp:keywords/>
  <dc:description/>
  <cp:lastModifiedBy>Böhrer, Roswitha</cp:lastModifiedBy>
  <cp:revision>2</cp:revision>
  <cp:lastPrinted>2009-10-28T09:19:00Z</cp:lastPrinted>
  <dcterms:created xsi:type="dcterms:W3CDTF">2021-01-08T12:02:00Z</dcterms:created>
  <dcterms:modified xsi:type="dcterms:W3CDTF">2021-01-08T12:02:00Z</dcterms:modified>
</cp:coreProperties>
</file>